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B8" w:rsidRDefault="00990685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 w:rsidR="007508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 w:rsidR="0075086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 w:rsidR="007508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</w:p>
    <w:p w:rsidR="00990685" w:rsidRPr="00990685" w:rsidRDefault="00990685" w:rsidP="00990685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Мөр орны </w:t>
      </w: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FB8" w:rsidRDefault="00F06FB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FB8" w:rsidRDefault="00F06FB8">
      <w:pPr>
        <w:sectPr w:rsidR="00F06FB8">
          <w:type w:val="continuous"/>
          <w:pgSz w:w="11905" w:h="16837"/>
          <w:pgMar w:top="563" w:right="850" w:bottom="766" w:left="1133" w:header="0" w:footer="0" w:gutter="0"/>
          <w:cols w:space="708"/>
        </w:sectPr>
      </w:pPr>
    </w:p>
    <w:p w:rsidR="00F06FB8" w:rsidRDefault="0075086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4210B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4210B4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F06FB8" w:rsidRDefault="0075086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F06FB8" w:rsidRDefault="00F06FB8">
      <w:pPr>
        <w:sectPr w:rsidR="00F06FB8">
          <w:type w:val="continuous"/>
          <w:pgSz w:w="11905" w:h="16837"/>
          <w:pgMar w:top="563" w:right="850" w:bottom="766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F06FB8" w:rsidRDefault="00F06FB8">
      <w:pPr>
        <w:spacing w:after="16" w:line="140" w:lineRule="exact"/>
        <w:rPr>
          <w:sz w:val="14"/>
          <w:szCs w:val="14"/>
        </w:rPr>
      </w:pPr>
    </w:p>
    <w:p w:rsidR="00F06FB8" w:rsidRDefault="00990685" w:rsidP="00EF4C1B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06FB8" w:rsidRPr="00990685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06FB8" w:rsidRDefault="00F06FB8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F06FB8" w:rsidRDefault="0075086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4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F06FB8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Pr="00990685" w:rsidRDefault="00990685" w:rsidP="00990685">
                                  <w:pPr>
                                    <w:widowControl w:val="0"/>
                                    <w:spacing w:before="3" w:line="240" w:lineRule="auto"/>
                                    <w:ind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препараттың атауы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Default="00F06FB8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06FB8" w:rsidRDefault="00750866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c>
                            </w:tr>
                            <w:tr w:rsidR="00F06FB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Pr="00990685" w:rsidRDefault="0099068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Default="0075086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</w:tr>
                            <w:tr w:rsidR="00F06FB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Pr="00990685" w:rsidRDefault="0099068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6FB8" w:rsidRPr="00990685" w:rsidRDefault="0099068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</w:t>
                                  </w:r>
                                </w:p>
                              </w:tc>
                            </w:tr>
                          </w:tbl>
                          <w:p w:rsidR="00EB33B8" w:rsidRDefault="00EB33B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F06FB8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Pr="00990685" w:rsidRDefault="00990685" w:rsidP="00990685">
                            <w:pPr>
                              <w:widowControl w:val="0"/>
                              <w:spacing w:before="3" w:line="240" w:lineRule="auto"/>
                              <w:ind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Дәрілік препараттың атауы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Default="00F06FB8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06FB8" w:rsidRDefault="00750866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</w:p>
                        </w:tc>
                      </w:tr>
                      <w:tr w:rsidR="00F06FB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Pr="00990685" w:rsidRDefault="0099068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Default="0075086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</w:p>
                        </w:tc>
                      </w:tr>
                      <w:tr w:rsidR="00F06FB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Pr="00990685" w:rsidRDefault="0099068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6FB8" w:rsidRPr="00990685" w:rsidRDefault="0099068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</w:t>
                            </w:r>
                          </w:p>
                        </w:tc>
                      </w:tr>
                    </w:tbl>
                    <w:p w:rsidR="00EB33B8" w:rsidRDefault="00EB33B8"/>
                  </w:txbxContent>
                </v:textbox>
                <w10:wrap anchorx="page"/>
              </v:shape>
            </w:pict>
          </mc:Fallback>
        </mc:AlternateContent>
      </w:r>
      <w:r w:rsidR="00990685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Қашықтықтан құпия ақпарат есебінен  </w:t>
      </w:r>
    </w:p>
    <w:p w:rsidR="00F06FB8" w:rsidRDefault="00F06FB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06FB8" w:rsidRDefault="00F06FB8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F06FB8" w:rsidRDefault="0075086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99068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Рәсімі туралық анықтамалық ақпарат </w:t>
      </w:r>
    </w:p>
    <w:p w:rsidR="00F06FB8" w:rsidRDefault="00F06FB8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06FB8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990685" w:rsidP="00990685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Мемлекеттік тіркеу кезінде  дәрілік заттың сараптамасын жүргізуге тіркеу құжатын беру </w:t>
            </w:r>
          </w:p>
        </w:tc>
      </w:tr>
    </w:tbl>
    <w:p w:rsidR="00F06FB8" w:rsidRDefault="00F06FB8">
      <w:pPr>
        <w:spacing w:after="3" w:line="220" w:lineRule="exact"/>
      </w:pPr>
    </w:p>
    <w:p w:rsidR="00F06FB8" w:rsidRPr="00990685" w:rsidRDefault="0075086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990685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F06FB8" w:rsidRDefault="00F06FB8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06FB8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990685" w:rsidRDefault="0099068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Сапа аспектілері </w:t>
            </w:r>
          </w:p>
        </w:tc>
      </w:tr>
      <w:tr w:rsidR="00F06FB8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after="39" w:line="240" w:lineRule="exact"/>
              <w:rPr>
                <w:sz w:val="24"/>
                <w:szCs w:val="24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0F441C" w:rsidP="00990685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proofErr w:type="spellStart"/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 w:rsidR="0099068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калық</w:t>
            </w:r>
            <w:r w:rsidR="00750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750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9906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0F441C" w:rsidP="000F441C">
            <w:pPr>
              <w:widowControl w:val="0"/>
              <w:tabs>
                <w:tab w:val="left" w:pos="495"/>
                <w:tab w:val="left" w:pos="1651"/>
                <w:tab w:val="left" w:pos="1970"/>
                <w:tab w:val="left" w:pos="2871"/>
                <w:tab w:val="left" w:pos="3479"/>
                <w:tab w:val="left" w:pos="3896"/>
                <w:tab w:val="left" w:pos="4562"/>
                <w:tab w:val="left" w:pos="5044"/>
                <w:tab w:val="left" w:pos="5374"/>
                <w:tab w:val="left" w:pos="585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софосбувир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="00750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бірізді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="00750866"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С</w:t>
            </w:r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дайын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өнімде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қолдану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үшін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ұсынылады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.</w:t>
            </w:r>
          </w:p>
        </w:tc>
      </w:tr>
      <w:tr w:rsidR="00F06FB8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after="6" w:line="160" w:lineRule="exact"/>
              <w:rPr>
                <w:sz w:val="16"/>
                <w:szCs w:val="16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0F441C" w:rsidP="000F441C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Қосымша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заттар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: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саны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мәліметтерді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пайдалану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мүмкіндігі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қорытындылармен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0F441C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жануарлардан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алынатын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0F44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06FB8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0F44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F06FB8" w:rsidRDefault="00F06FB8">
      <w:pPr>
        <w:sectPr w:rsidR="00F06FB8">
          <w:type w:val="continuous"/>
          <w:pgSz w:w="11905" w:h="16837"/>
          <w:pgMar w:top="563" w:right="850" w:bottom="76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F06FB8" w:rsidRPr="00153985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0F441C" w:rsidRDefault="000F441C" w:rsidP="000F44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Өндірісі туралы қорытынды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0F441C" w:rsidRDefault="000F441C" w:rsidP="003073CD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GMP талаптарын қанағаттандыратын өндіріс процесінде өндіріс және бақылау процесінің толық сипаттамасы ұсынылған. Валидациялық сынақтардың нәтижелері өндірістік процесс тұрақты екенін көрсетеді және дайын 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німге фирманың өзіндік ерекшелігінің </w:t>
            </w:r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барлық параметрлері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ойынша сәйкес келетін сериядан  серияғ</w:t>
            </w:r>
            <w:r w:rsidRPr="000F44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 өнім алуға мүмкіндік береді.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</w:tc>
      </w:tr>
      <w:tr w:rsidR="00F06FB8" w:rsidRPr="00153985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0F441C" w:rsidRDefault="00F06FB8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3073CD" w:rsidRDefault="003073C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3073CD" w:rsidRDefault="003073CD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3073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ЕВ 9.5 стандарттары мен 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I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C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H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Q2, Q6, Q3 А басшылығының шеңберінде ұсынылған ерекшеліктің негіздемесі препараттың сапасын және қолданылатын талдау әдістерінің барабарлығын дәлелдейді.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</w:p>
          <w:p w:rsidR="00F06FB8" w:rsidRPr="003073CD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E91A0D" w:rsidRDefault="003073CD">
            <w:pPr>
              <w:widowControl w:val="0"/>
              <w:tabs>
                <w:tab w:val="left" w:pos="1762"/>
                <w:tab w:val="left" w:pos="3310"/>
                <w:tab w:val="left" w:pos="4764"/>
                <w:tab w:val="left" w:pos="5859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әдістемелердің жүргізілген валидациясының нәтижелері мәлімделген дәрілік заттың сапасын </w:t>
            </w:r>
            <w:r w:rsidR="00CF58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әдеттегі</w:t>
            </w:r>
            <w:r w:rsidRPr="003073C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бақылау үшін әдістемелерді қолдану мүмкіндігін растайды.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</w:p>
          <w:p w:rsidR="00F06FB8" w:rsidRPr="00E91A0D" w:rsidRDefault="00F06FB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E91A0D" w:rsidRDefault="00CF58DD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Үш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бірізділікпен жүргізілген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</w:p>
        </w:tc>
      </w:tr>
      <w:tr w:rsidR="00F06FB8" w:rsidRPr="00153985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E91A0D" w:rsidRDefault="00F06FB8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CF58DD" w:rsidRDefault="00CF58D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Тұрақтылық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CF58DD">
            <w:pPr>
              <w:spacing w:after="11" w:line="20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Тұрақтылықты сынау ICH Q1A (R2), Q1 C талаптарына сәйкес жүргізілді.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Бастапқы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қааптама 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мәлімделген деректерге сәйкес келеді.</w:t>
            </w:r>
          </w:p>
          <w:p w:rsidR="00CF58DD" w:rsidRPr="00CF58DD" w:rsidRDefault="00CF58DD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CF58DD" w:rsidRDefault="00CF58DD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F06FB8" w:rsidRPr="00CF58DD" w:rsidRDefault="00750866">
            <w:pPr>
              <w:widowControl w:val="0"/>
              <w:spacing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="00CF58DD"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Сипаттамасы </w:t>
            </w:r>
            <w:r w:rsid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өзіндік ерекшелік </w:t>
            </w:r>
            <w:r w:rsidR="00CF58DD"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талаптарына сәйкес келеді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</w:p>
          <w:p w:rsidR="00F06FB8" w:rsidRPr="00CF58DD" w:rsidRDefault="00F06FB8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CF58DD" w:rsidRDefault="00750866">
            <w:pPr>
              <w:widowControl w:val="0"/>
              <w:spacing w:line="240" w:lineRule="auto"/>
              <w:ind w:left="60" w:right="-9" w:firstLine="6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2.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  <w:lang w:val="kk-KZ"/>
              </w:rPr>
              <w:t xml:space="preserve"> </w:t>
            </w:r>
            <w:r w:rsidR="00CF58DD" w:rsidRPr="00CF58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Қоспалардың құрамы </w:t>
            </w:r>
            <w:r w:rsidR="00CF58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="00CF58DD" w:rsidRPr="00CF58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шегінде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</w:p>
          <w:p w:rsidR="00F06FB8" w:rsidRPr="00CF58DD" w:rsidRDefault="00F06FB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CF58DD" w:rsidRDefault="00750866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 w:firstLine="7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3.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  <w:r w:rsidR="00CF58DD" w:rsidRPr="00CF58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Әсер етуші заттың сандық құрамының елеулі өзгерістері байқалмайды</w:t>
            </w:r>
            <w:r w:rsidRPr="00CF58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06FB8" w:rsidRPr="00CF58DD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06FB8" w:rsidRPr="00E91A0D" w:rsidRDefault="00CF58DD" w:rsidP="00CF58DD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F58D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Препараттың тұрақтылығын зерттеу нәтижелері мәлімделген сақтау мерзімін 2 жыл растайды.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</w:p>
        </w:tc>
      </w:tr>
      <w:tr w:rsidR="00F06FB8" w:rsidRPr="00153985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E91A0D" w:rsidRDefault="00F06FB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06FB8" w:rsidRPr="00E91A0D" w:rsidRDefault="00F06FB8">
            <w:pPr>
              <w:spacing w:after="10" w:line="140" w:lineRule="exact"/>
              <w:rPr>
                <w:sz w:val="14"/>
                <w:szCs w:val="14"/>
                <w:lang w:val="kk-KZ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CF58DD" w:rsidRDefault="00CF58D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CF58DD" w:rsidRDefault="00F06FB8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F06FB8" w:rsidRPr="00822E50" w:rsidRDefault="00822E50">
            <w:pPr>
              <w:widowControl w:val="0"/>
              <w:spacing w:line="240" w:lineRule="auto"/>
              <w:ind w:left="60" w:right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822E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Клиникаға дейінгі зерттеулер шолу және мақалалар түрінде ұсынылған.</w:t>
            </w:r>
          </w:p>
        </w:tc>
      </w:tr>
      <w:tr w:rsidR="00F06FB8">
        <w:trPr>
          <w:cantSplit/>
          <w:trHeight w:hRule="exact" w:val="2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822E50" w:rsidRDefault="00F06FB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06FB8" w:rsidRPr="00822E50" w:rsidRDefault="00F06FB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06FB8" w:rsidRPr="00822E50" w:rsidRDefault="00F06FB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06FB8" w:rsidRPr="00822E50" w:rsidRDefault="00F06FB8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06FB8" w:rsidRPr="00822E50" w:rsidRDefault="00F06FB8">
            <w:pPr>
              <w:spacing w:after="1" w:line="220" w:lineRule="exact"/>
              <w:rPr>
                <w:lang w:val="kk-KZ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822E50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E91A0D" w:rsidRDefault="00F06FB8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F06FB8" w:rsidRPr="00E91A0D" w:rsidRDefault="00822E50">
            <w:pPr>
              <w:widowControl w:val="0"/>
              <w:spacing w:line="240" w:lineRule="auto"/>
              <w:ind w:left="60" w:right="19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Барабарлығының клиникалық зерттеуі ұсынылған</w:t>
            </w:r>
            <w:r w:rsidR="00750866"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06FB8" w:rsidRPr="00822E50" w:rsidRDefault="00750866" w:rsidP="00822E50">
            <w:pPr>
              <w:widowControl w:val="0"/>
              <w:spacing w:line="240" w:lineRule="auto"/>
              <w:ind w:left="60" w:right="-6" w:firstLine="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Рандоми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</w:t>
            </w:r>
            <w:r w:rsidR="00822E50"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ир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ленген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ашық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екі кезеңдік</w:t>
            </w:r>
            <w:r w:rsidR="00822E50"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 реттік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д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оз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а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осовер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барабарлығын зерттеу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ОФ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О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С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У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В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РА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4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00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МГ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,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22E50"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таблетк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алар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өндіруші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"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NAT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C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O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P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H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A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RM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A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L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I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M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I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T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E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D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"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Үнді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S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O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V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A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L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D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I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®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ОФ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ОСБУВ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) 400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МГ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  <w:lang w:val="kk-KZ"/>
              </w:rPr>
              <w:t xml:space="preserve"> </w:t>
            </w:r>
            <w:r w:rsidR="00822E50"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таблетк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алар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өндіруші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"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ЛЕ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СА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ЙЕН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И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Н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К</w:t>
            </w:r>
            <w:r w:rsidRPr="00E91A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06FB8" w:rsidRDefault="00F06FB8">
      <w:pPr>
        <w:sectPr w:rsidR="00F06FB8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454"/>
        <w:gridCol w:w="165"/>
        <w:gridCol w:w="739"/>
        <w:gridCol w:w="964"/>
        <w:gridCol w:w="3519"/>
        <w:gridCol w:w="323"/>
        <w:gridCol w:w="1519"/>
      </w:tblGrid>
      <w:tr w:rsidR="00F06FB8" w:rsidTr="00153985">
        <w:trPr>
          <w:cantSplit/>
          <w:trHeight w:hRule="exact" w:val="1853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after="1" w:line="200" w:lineRule="exact"/>
              <w:rPr>
                <w:sz w:val="20"/>
                <w:szCs w:val="20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822E50" w:rsidRDefault="00822E5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Пайда-қауіпті бағалау 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sz w:val="24"/>
                <w:szCs w:val="24"/>
              </w:rPr>
            </w:pPr>
          </w:p>
          <w:p w:rsidR="00F06FB8" w:rsidRDefault="00F06FB8">
            <w:pPr>
              <w:spacing w:after="49" w:line="240" w:lineRule="exact"/>
              <w:rPr>
                <w:sz w:val="24"/>
                <w:szCs w:val="24"/>
              </w:rPr>
            </w:pPr>
          </w:p>
          <w:p w:rsidR="00F06FB8" w:rsidRDefault="00750866">
            <w:pPr>
              <w:widowControl w:val="0"/>
              <w:spacing w:line="240" w:lineRule="auto"/>
              <w:ind w:left="-3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26731C" w:rsidRDefault="0026731C" w:rsidP="0026731C">
            <w:pPr>
              <w:widowControl w:val="0"/>
              <w:spacing w:before="3" w:line="240" w:lineRule="auto"/>
              <w:ind w:left="-57" w:right="-10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</w:pPr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Бала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туатын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жастағы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әйелдер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/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әйелдерді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контрацепция</w:t>
            </w:r>
          </w:p>
          <w:p w:rsidR="0026731C" w:rsidRPr="0026731C" w:rsidRDefault="0026731C" w:rsidP="0026731C">
            <w:pPr>
              <w:widowControl w:val="0"/>
              <w:spacing w:before="3" w:line="240" w:lineRule="auto"/>
              <w:ind w:left="-57" w:right="-10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3" w:line="240" w:lineRule="auto"/>
              <w:ind w:left="-57" w:right="-10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Рибавиринмен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немесе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альфа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пегинтерферонмен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софосбувирді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пайдаланған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кезде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/</w:t>
            </w:r>
          </w:p>
          <w:p w:rsidR="00F06FB8" w:rsidRDefault="0026731C" w:rsidP="0026731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бала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туатын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жастағы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әйелдер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мен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ерлерде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арнайы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шаралар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қолданылуы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тиіс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.</w:t>
            </w:r>
          </w:p>
          <w:p w:rsidR="00F06FB8" w:rsidRDefault="00F06FB8">
            <w:pPr>
              <w:widowControl w:val="0"/>
              <w:spacing w:line="240" w:lineRule="auto"/>
              <w:ind w:left="-5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822E50" w:rsidRDefault="00F06FB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6FB8" w:rsidRDefault="00F06FB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06FB8" w:rsidRDefault="00F06FB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FB8" w:rsidRDefault="00F06FB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FB8" w:rsidRDefault="00F06FB8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06FB8" w:rsidRDefault="00750866">
            <w:pPr>
              <w:widowControl w:val="0"/>
              <w:spacing w:line="240" w:lineRule="auto"/>
              <w:ind w:left="-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6731C" w:rsidTr="00153985">
        <w:trPr>
          <w:cantSplit/>
          <w:trHeight w:hRule="exact" w:val="476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5222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>
            <w:pPr>
              <w:widowControl w:val="0"/>
              <w:spacing w:before="5" w:line="240" w:lineRule="auto"/>
              <w:ind w:left="-5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5509F">
              <w:t>Жүктілік</w:t>
            </w:r>
            <w:proofErr w:type="spellEnd"/>
            <w:r w:rsidRPr="00B5509F">
              <w:t xml:space="preserve"> </w:t>
            </w:r>
            <w:proofErr w:type="spellStart"/>
            <w:r w:rsidRPr="00B5509F">
              <w:t>кезінде</w:t>
            </w:r>
            <w:proofErr w:type="spellEnd"/>
            <w:r w:rsidRPr="00B5509F">
              <w:t xml:space="preserve"> </w:t>
            </w:r>
            <w:proofErr w:type="spellStart"/>
            <w:r w:rsidRPr="00B5509F">
              <w:t>препаратты</w:t>
            </w:r>
            <w:proofErr w:type="spellEnd"/>
            <w:r w:rsidRPr="00B5509F">
              <w:t xml:space="preserve"> </w:t>
            </w:r>
            <w:proofErr w:type="spellStart"/>
            <w:r w:rsidRPr="00B5509F">
              <w:t>қолданбау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</w:tr>
      <w:tr w:rsidR="0026731C" w:rsidTr="00153985">
        <w:trPr>
          <w:cantSplit/>
          <w:trHeight w:hRule="exact" w:val="369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B5509F" w:rsidRDefault="0026731C" w:rsidP="008C6F51"/>
        </w:tc>
        <w:tc>
          <w:tcPr>
            <w:tcW w:w="4806" w:type="dxa"/>
            <w:gridSpan w:val="3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B5509F" w:rsidRDefault="0026731C" w:rsidP="008C6F51"/>
        </w:tc>
        <w:tc>
          <w:tcPr>
            <w:tcW w:w="1519" w:type="dxa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1C" w:rsidRDefault="0026731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1C" w:rsidRDefault="0026731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31C" w:rsidRDefault="002673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6731C" w:rsidRDefault="0026731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06FB8" w:rsidTr="00153985">
        <w:trPr>
          <w:cantSplit/>
          <w:trHeight w:hRule="exact" w:val="78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 w:rsidP="00153985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806" w:type="dxa"/>
            <w:gridSpan w:val="3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151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</w:tr>
      <w:tr w:rsidR="0026731C" w:rsidTr="00153985">
        <w:trPr>
          <w:cantSplit/>
          <w:trHeight w:hRule="exact" w:val="1196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7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4A136B" w:rsidRDefault="0026731C" w:rsidP="000012D4">
            <w:r w:rsidRPr="004A136B">
              <w:t xml:space="preserve">18 </w:t>
            </w:r>
            <w:proofErr w:type="spellStart"/>
            <w:r w:rsidRPr="004A136B">
              <w:t>жасқа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дейінгі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балалар</w:t>
            </w:r>
            <w:proofErr w:type="spellEnd"/>
            <w:r w:rsidRPr="004A136B">
              <w:t xml:space="preserve"> мен </w:t>
            </w:r>
            <w:proofErr w:type="spellStart"/>
            <w:r w:rsidRPr="004A136B">
              <w:t>жасөспірімдерге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қолдануға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болмайды</w:t>
            </w:r>
            <w:proofErr w:type="spellEnd"/>
          </w:p>
        </w:tc>
        <w:tc>
          <w:tcPr>
            <w:tcW w:w="3842" w:type="dxa"/>
            <w:gridSpan w:val="2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 w:rsidP="000012D4">
            <w:r w:rsidRPr="004A136B">
              <w:t xml:space="preserve">18 </w:t>
            </w:r>
            <w:proofErr w:type="spellStart"/>
            <w:r w:rsidRPr="004A136B">
              <w:t>жасқа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дейінгі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балалар</w:t>
            </w:r>
            <w:proofErr w:type="spellEnd"/>
            <w:r w:rsidRPr="004A136B">
              <w:t xml:space="preserve"> мен </w:t>
            </w:r>
            <w:proofErr w:type="spellStart"/>
            <w:r w:rsidRPr="004A136B">
              <w:t>жасөспі</w:t>
            </w:r>
            <w:proofErr w:type="gramStart"/>
            <w:r w:rsidRPr="004A136B">
              <w:t>р</w:t>
            </w:r>
            <w:proofErr w:type="gramEnd"/>
            <w:r w:rsidRPr="004A136B">
              <w:t>імдерге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қолдануға</w:t>
            </w:r>
            <w:proofErr w:type="spellEnd"/>
            <w:r w:rsidRPr="004A136B">
              <w:t xml:space="preserve"> </w:t>
            </w:r>
            <w:proofErr w:type="spellStart"/>
            <w:r w:rsidRPr="004A136B">
              <w:t>болмайды</w:t>
            </w:r>
            <w:proofErr w:type="spellEnd"/>
          </w:p>
          <w:p w:rsidR="00153985" w:rsidRPr="004A136B" w:rsidRDefault="00153985" w:rsidP="000012D4"/>
        </w:tc>
        <w:tc>
          <w:tcPr>
            <w:tcW w:w="151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</w:tr>
      <w:tr w:rsidR="0026731C" w:rsidTr="00153985">
        <w:trPr>
          <w:cantSplit/>
          <w:trHeight w:hRule="exact" w:val="846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7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 w:rsidP="000012D4">
            <w:proofErr w:type="spellStart"/>
            <w:r w:rsidRPr="004A136B">
              <w:t>Фертильдік</w:t>
            </w:r>
            <w:proofErr w:type="spellEnd"/>
          </w:p>
        </w:tc>
        <w:tc>
          <w:tcPr>
            <w:tcW w:w="3842" w:type="dxa"/>
            <w:gridSpan w:val="2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519" w:type="dxa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</w:tr>
      <w:tr w:rsidR="0026731C" w:rsidTr="00153985">
        <w:trPr>
          <w:cantSplit/>
          <w:trHeight w:hRule="exact" w:val="856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7064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754A35" w:rsidRDefault="0026731C" w:rsidP="00F4438D">
            <w:proofErr w:type="spellStart"/>
            <w:r w:rsidRPr="00754A35">
              <w:t>Софосбувир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механизмдерді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басқару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және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жүргізу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қабілетіне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орташа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әсер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етеді</w:t>
            </w:r>
            <w:proofErr w:type="spellEnd"/>
            <w:r w:rsidRPr="00754A35">
              <w:t xml:space="preserve">. </w:t>
            </w:r>
            <w:proofErr w:type="spellStart"/>
            <w:r w:rsidRPr="00754A35">
              <w:t>Пациенттер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шаршау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және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зейіннің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бұзылуы</w:t>
            </w:r>
            <w:proofErr w:type="spellEnd"/>
            <w:r w:rsidRPr="00754A35">
              <w:t xml:space="preserve">, бас </w:t>
            </w:r>
            <w:proofErr w:type="spellStart"/>
            <w:r w:rsidRPr="00754A35">
              <w:t>айналу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және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ақылға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қонымды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көру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софосбувирмен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бірге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емдеу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кезінде</w:t>
            </w:r>
            <w:proofErr w:type="spellEnd"/>
          </w:p>
        </w:tc>
      </w:tr>
      <w:tr w:rsidR="0026731C" w:rsidTr="00153985">
        <w:trPr>
          <w:cantSplit/>
          <w:trHeight w:hRule="exact" w:val="1006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165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Default="0026731C"/>
        </w:tc>
        <w:tc>
          <w:tcPr>
            <w:tcW w:w="7064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754A35" w:rsidRDefault="0026731C" w:rsidP="00F4438D">
            <w:proofErr w:type="spellStart"/>
            <w:r w:rsidRPr="00754A35">
              <w:t>Пегинтерферон</w:t>
            </w:r>
            <w:proofErr w:type="spellEnd"/>
            <w:r w:rsidRPr="00754A35">
              <w:t xml:space="preserve"> альфа </w:t>
            </w:r>
            <w:proofErr w:type="spellStart"/>
            <w:r w:rsidRPr="00754A35">
              <w:t>және</w:t>
            </w:r>
            <w:proofErr w:type="spellEnd"/>
            <w:r w:rsidRPr="00754A35">
              <w:t xml:space="preserve"> </w:t>
            </w:r>
            <w:proofErr w:type="spellStart"/>
            <w:r w:rsidRPr="00754A35">
              <w:t>Рибавирин</w:t>
            </w:r>
            <w:proofErr w:type="spellEnd"/>
            <w:r w:rsidRPr="00754A35">
              <w:t>.</w:t>
            </w:r>
          </w:p>
        </w:tc>
      </w:tr>
      <w:tr w:rsidR="00F06FB8" w:rsidTr="00153985">
        <w:trPr>
          <w:cantSplit/>
          <w:trHeight w:hRule="exact" w:val="237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7064" w:type="dxa"/>
            <w:gridSpan w:val="5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31C" w:rsidRPr="0026731C" w:rsidRDefault="0026731C" w:rsidP="00153985">
            <w:pPr>
              <w:widowControl w:val="0"/>
              <w:spacing w:before="5" w:line="240" w:lineRule="auto"/>
              <w:ind w:left="-115"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механизмдерді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күту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басқару</w:t>
            </w:r>
            <w:proofErr w:type="spellEnd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қабілетіне</w:t>
            </w:r>
            <w:proofErr w:type="spellEnd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орташа</w:t>
            </w:r>
            <w:proofErr w:type="spellEnd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="0015398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етеді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Пациенттер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шаршау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нимания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бұзылуы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бас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айналу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ақылға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қонымды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софосбувирмен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бірге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емдеу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</w:t>
            </w:r>
            <w:proofErr w:type="gram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алғаны</w:t>
            </w:r>
            <w:proofErr w:type="spellEnd"/>
            <w:proofErr w:type="gram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хабардар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тиіс</w:t>
            </w:r>
            <w:proofErr w:type="spellEnd"/>
          </w:p>
          <w:p w:rsidR="0026731C" w:rsidRPr="0026731C" w:rsidRDefault="0026731C" w:rsidP="00153985">
            <w:pPr>
              <w:widowControl w:val="0"/>
              <w:spacing w:before="5" w:line="240" w:lineRule="auto"/>
              <w:ind w:left="-115"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Пегинтерферон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альфа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Рибавирин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26731C" w:rsidRPr="0026731C" w:rsidRDefault="0026731C" w:rsidP="00153985">
            <w:pPr>
              <w:widowControl w:val="0"/>
              <w:spacing w:before="5" w:line="240" w:lineRule="auto"/>
              <w:ind w:left="-115"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bookmarkStart w:id="0" w:name="_GoBack"/>
            <w:bookmarkEnd w:id="0"/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Жүктілік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қолданбау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Неиз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рудн</w:t>
            </w:r>
            <w:proofErr w:type="spellEnd"/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метаболиттері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сүтке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бөлінеді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?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Нәрестелер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/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нәрестелер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</w:t>
            </w:r>
            <w:proofErr w:type="spellEnd"/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т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Алып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тасталды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Сондықтан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емшек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емізу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болмайды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жоқ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</w:t>
            </w:r>
            <w:proofErr w:type="spellEnd"/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18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жасқа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жасөспірімдерге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қолдануға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болмайды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Фертильдік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Софосбувирдің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адамның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фертильділігіне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құралдарын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құпия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қауіпті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механизмдерді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басқару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құралына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ерекшеліктері</w:t>
            </w:r>
            <w:proofErr w:type="spellEnd"/>
          </w:p>
          <w:p w:rsidR="0026731C" w:rsidRPr="0026731C" w:rsidRDefault="0026731C" w:rsidP="0026731C">
            <w:pPr>
              <w:widowControl w:val="0"/>
              <w:spacing w:before="5" w:line="240" w:lineRule="auto"/>
              <w:ind w:left="-115" w:right="-11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механизмдерді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күту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басқару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қабілетіне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орташа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етеді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Пациенттер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шаршау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нимания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бұзылуы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бас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айналу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ақылға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қонымды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софосбувирмен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бірге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емдеу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байқалғаны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хабардар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тиіс</w:t>
            </w:r>
            <w:proofErr w:type="spellEnd"/>
          </w:p>
          <w:p w:rsidR="00F06FB8" w:rsidRDefault="0026731C" w:rsidP="0026731C">
            <w:pPr>
              <w:widowControl w:val="0"/>
              <w:spacing w:line="240" w:lineRule="auto"/>
              <w:ind w:left="-5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Пегинтерферон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альфа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Рибавирин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F06FB8" w:rsidTr="00153985">
        <w:trPr>
          <w:cantSplit/>
          <w:trHeight w:hRule="exact" w:val="3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8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E91A0D" w:rsidRDefault="0075086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proofErr w:type="spellEnd"/>
            <w:r w:rsid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ологиялық қадағалау </w:t>
            </w:r>
          </w:p>
        </w:tc>
      </w:tr>
    </w:tbl>
    <w:p w:rsidR="00F06FB8" w:rsidRDefault="00F06FB8">
      <w:pPr>
        <w:sectPr w:rsidR="00F06FB8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F06FB8">
        <w:trPr>
          <w:cantSplit/>
          <w:trHeight w:hRule="exact" w:val="830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E91A0D" w:rsidP="00E91A0D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қадағалау жүйесінің сипаттамасы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E91A0D">
            <w:pPr>
              <w:widowControl w:val="0"/>
              <w:tabs>
                <w:tab w:val="left" w:pos="2055"/>
                <w:tab w:val="left" w:pos="3549"/>
                <w:tab w:val="left" w:pos="5668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Фармакологиял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АРС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Healthcare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»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компаниясының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өкілдігі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арқылы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промотацияланатын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кез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келген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дәрілік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затпен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туындауы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мүмкін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тәуекелдерді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анықтау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болып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табылады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</w:p>
          <w:p w:rsidR="00F06FB8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A0D" w:rsidRDefault="00E91A0D">
            <w:pPr>
              <w:widowControl w:val="0"/>
              <w:tabs>
                <w:tab w:val="left" w:pos="1699"/>
                <w:tab w:val="left" w:pos="2623"/>
                <w:tab w:val="left" w:pos="3379"/>
                <w:tab w:val="left" w:pos="4190"/>
                <w:tab w:val="left" w:pos="4735"/>
                <w:tab w:val="left" w:pos="6070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заттарды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тіркеу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фармакоқадағалау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қауіпсіздік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бөлімінің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басшысы-тіркеу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жөніндегі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менеджер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бір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мезгілде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фармакоқадағалауға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жауапты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тұлға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 w:rsidRPr="00E91A0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F06FB8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6FB8" w:rsidRDefault="0026731C">
            <w:pPr>
              <w:widowControl w:val="0"/>
              <w:tabs>
                <w:tab w:val="left" w:pos="1601"/>
                <w:tab w:val="left" w:pos="2030"/>
                <w:tab w:val="left" w:pos="3041"/>
                <w:tab w:val="left" w:pos="4269"/>
                <w:tab w:val="left" w:pos="5197"/>
                <w:tab w:val="left" w:pos="5605"/>
              </w:tabs>
              <w:spacing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Healthcare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мпаниясы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өкілдігінің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бас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офисі,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050040, Попов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19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, 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1-офис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Алматы қ.,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Қазақстан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Республикасы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мекенжа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офис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Healthcare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компаниясы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өкілдігінің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логиялық қадағалаудың 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ұйымдық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құрылымы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6-қосымшада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F06FB8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6FB8" w:rsidRDefault="0026731C">
            <w:pPr>
              <w:widowControl w:val="0"/>
              <w:tabs>
                <w:tab w:val="left" w:pos="1555"/>
                <w:tab w:val="left" w:pos="3476"/>
                <w:tab w:val="left" w:pos="5378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Басшылық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компанияның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фармакоқадағалау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жүйесін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сипаттайды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медициналық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қажетті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заттардың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жанама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жанама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тиімділігінің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болмауы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сенімді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ақпаратты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жинау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талдау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уәкілетті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ұйымға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беру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жүйесін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айқындайды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F06FB8" w:rsidRDefault="00F06FB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6FB8" w:rsidRDefault="0026731C" w:rsidP="0026731C">
            <w:pPr>
              <w:widowControl w:val="0"/>
              <w:tabs>
                <w:tab w:val="left" w:pos="1281"/>
                <w:tab w:val="left" w:pos="3362"/>
                <w:tab w:val="left" w:pos="3912"/>
                <w:tab w:val="left" w:pos="5097"/>
                <w:tab w:val="left" w:pos="560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Компанияның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фармакологиялық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қадағалау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жүйесі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заттардың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жанама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әсерлерін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анықтау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бағалау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түсіну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пациенттердің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алдын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қорғау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қызмет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етеді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Фармакоқадағ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уәкілетті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тұлға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Healthcare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»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компаниясының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Алматыдағы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Қазақстан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Республикасындағы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өкілдігінің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офисінде</w:t>
            </w:r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жұмыс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істейді</w:t>
            </w:r>
            <w:proofErr w:type="spellEnd"/>
            <w:r w:rsidRPr="0026731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</w:tc>
      </w:tr>
      <w:tr w:rsidR="00F06FB8" w:rsidTr="004210B4">
        <w:trPr>
          <w:cantSplit/>
          <w:trHeight w:hRule="exact" w:val="63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26731C" w:rsidRDefault="002673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75086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/>
        </w:tc>
      </w:tr>
      <w:tr w:rsidR="00F06FB8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F06FB8">
            <w:pPr>
              <w:spacing w:after="9" w:line="140" w:lineRule="exact"/>
              <w:rPr>
                <w:sz w:val="14"/>
                <w:szCs w:val="14"/>
              </w:rPr>
            </w:pPr>
          </w:p>
          <w:p w:rsidR="00F06FB8" w:rsidRDefault="0075086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Pr="003E515D" w:rsidRDefault="002673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талаптары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B8" w:rsidRDefault="002673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750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06FB8" w:rsidRDefault="00F06FB8"/>
    <w:sectPr w:rsidR="00F06FB8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8"/>
    <w:rsid w:val="000F441C"/>
    <w:rsid w:val="00153985"/>
    <w:rsid w:val="0026731C"/>
    <w:rsid w:val="003073CD"/>
    <w:rsid w:val="003E515D"/>
    <w:rsid w:val="004210B4"/>
    <w:rsid w:val="00750866"/>
    <w:rsid w:val="00822E50"/>
    <w:rsid w:val="00974E3B"/>
    <w:rsid w:val="00990685"/>
    <w:rsid w:val="00CF58DD"/>
    <w:rsid w:val="00E91A0D"/>
    <w:rsid w:val="00EB33B8"/>
    <w:rsid w:val="00EF4C1B"/>
    <w:rsid w:val="00F06FB8"/>
    <w:rsid w:val="00F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7</cp:revision>
  <dcterms:created xsi:type="dcterms:W3CDTF">2020-01-14T02:30:00Z</dcterms:created>
  <dcterms:modified xsi:type="dcterms:W3CDTF">2020-07-16T04:21:00Z</dcterms:modified>
</cp:coreProperties>
</file>